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A365"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東近江市民クラブ</w:t>
      </w:r>
    </w:p>
    <w:p w14:paraId="6CF130C1"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田井中　丈三</w:t>
      </w:r>
    </w:p>
    <w:p w14:paraId="7BE85EDC" w14:textId="77777777" w:rsidR="00A0750A" w:rsidRPr="002546D2" w:rsidRDefault="00A0750A" w:rsidP="00A0750A">
      <w:pPr>
        <w:snapToGrid w:val="0"/>
        <w:spacing w:line="360" w:lineRule="exact"/>
        <w:rPr>
          <w:rFonts w:asciiTheme="minorEastAsia" w:hAnsiTheme="minorEastAsia"/>
        </w:rPr>
      </w:pPr>
      <w:r>
        <w:rPr>
          <w:rFonts w:asciiTheme="minorEastAsia" w:hAnsiTheme="minorEastAsia" w:hint="eastAsia"/>
        </w:rPr>
        <w:t xml:space="preserve">Ｑ　</w:t>
      </w:r>
      <w:r w:rsidRPr="002546D2">
        <w:rPr>
          <w:rFonts w:asciiTheme="minorEastAsia" w:hAnsiTheme="minorEastAsia" w:hint="eastAsia"/>
        </w:rPr>
        <w:t>お米の振興と市内農業の基盤整備事業に対する農家負担の軽減について、</w:t>
      </w:r>
    </w:p>
    <w:p w14:paraId="1C8C1CC7"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①お米の食品としての健康への効果と、肥満との因果関係は。</w:t>
      </w:r>
    </w:p>
    <w:p w14:paraId="4638C5B3"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②お米の食品としての家計への効果は。</w:t>
      </w:r>
    </w:p>
    <w:p w14:paraId="0B0541D7"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③大中の湖干拓地や小中之湖干拓地の基盤整備事業補助率を国のガイドラインどおりにすべきと考えるが見解は。</w:t>
      </w:r>
    </w:p>
    <w:p w14:paraId="63BB9877" w14:textId="77777777" w:rsidR="00A0750A" w:rsidRPr="002546D2"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2546D2">
        <w:rPr>
          <w:rFonts w:asciiTheme="minorEastAsia" w:hAnsiTheme="minorEastAsia" w:hint="eastAsia"/>
        </w:rPr>
        <w:t>①お米はパンや麺類に比べ脂質が少なく、食物繊維が多いため、体脂肪が増えにくい特徴があります。肥満はエネルギーの摂取量と消費量のバランスの悪さから生じるもので、お米を食べると太るといった認識は誤っています。</w:t>
      </w:r>
    </w:p>
    <w:p w14:paraId="2ED4F263"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②標準的なお茶碗一杯のご飯の価格は５１円となり、カップ麺１８４円、菓子パン１２７円と比較しても経済的な食品であると考えます。</w:t>
      </w:r>
    </w:p>
    <w:p w14:paraId="3A637BAF"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③国の政策で整備されてきた経過や干拓農地の特殊性を十分に鑑み、防災上極めて重要な施設の整備更新事業においては、国が示す負担割合に基づき実施することを既に決定しています。</w:t>
      </w:r>
    </w:p>
    <w:p w14:paraId="158CB980" w14:textId="77777777" w:rsidR="00A0750A" w:rsidRDefault="00A0750A" w:rsidP="00A0750A">
      <w:pPr>
        <w:snapToGrid w:val="0"/>
        <w:spacing w:line="360" w:lineRule="exact"/>
        <w:rPr>
          <w:rFonts w:asciiTheme="minorEastAsia" w:hAnsiTheme="minorEastAsia"/>
        </w:rPr>
      </w:pPr>
    </w:p>
    <w:p w14:paraId="52B51D92" w14:textId="77777777" w:rsidR="00A0750A" w:rsidRDefault="00A0750A" w:rsidP="00A0750A">
      <w:pPr>
        <w:snapToGrid w:val="0"/>
        <w:spacing w:line="360" w:lineRule="exact"/>
        <w:rPr>
          <w:rFonts w:asciiTheme="minorEastAsia" w:hAnsiTheme="minorEastAsia"/>
        </w:rPr>
      </w:pPr>
    </w:p>
    <w:p w14:paraId="093C3B1D"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東近江市民クラブ</w:t>
      </w:r>
    </w:p>
    <w:p w14:paraId="66B48F8A"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山本　直彦</w:t>
      </w:r>
    </w:p>
    <w:p w14:paraId="37F39054" w14:textId="77777777" w:rsidR="00A0750A" w:rsidRPr="002546D2" w:rsidRDefault="00A0750A" w:rsidP="00A0750A">
      <w:pPr>
        <w:snapToGrid w:val="0"/>
        <w:spacing w:line="360" w:lineRule="exact"/>
        <w:rPr>
          <w:rFonts w:asciiTheme="minorEastAsia" w:hAnsiTheme="minorEastAsia"/>
        </w:rPr>
      </w:pPr>
      <w:r>
        <w:rPr>
          <w:rFonts w:asciiTheme="minorEastAsia" w:hAnsiTheme="minorEastAsia" w:hint="eastAsia"/>
        </w:rPr>
        <w:t xml:space="preserve">Ｑ　</w:t>
      </w:r>
      <w:r w:rsidRPr="002546D2">
        <w:rPr>
          <w:rFonts w:asciiTheme="minorEastAsia" w:hAnsiTheme="minorEastAsia" w:hint="eastAsia"/>
        </w:rPr>
        <w:t>道路整備事業の進捗と今後の計画について、</w:t>
      </w:r>
    </w:p>
    <w:p w14:paraId="15F4AF46"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①御河辺橋架け替えを含む県道雨降野今在家八日市線道路整備事業は。</w:t>
      </w:r>
    </w:p>
    <w:p w14:paraId="66F4D237"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②県道中里山上日野線道路整備事業（愛東外バイパス）は。</w:t>
      </w:r>
    </w:p>
    <w:p w14:paraId="59317440"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③国道３０７号バイパス道路整備事業は。</w:t>
      </w:r>
    </w:p>
    <w:p w14:paraId="5945A725" w14:textId="77777777" w:rsidR="00A0750A" w:rsidRPr="002546D2"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2546D2">
        <w:rPr>
          <w:rFonts w:asciiTheme="minorEastAsia" w:hAnsiTheme="minorEastAsia" w:hint="eastAsia"/>
        </w:rPr>
        <w:t>①平成３０年度から概略設計を実施し、バイパス区間においてルート案の決定を行っています。現在は用地測量や土質調査などが実施されており、道路整備を順次行う計画です。また、令和７年度の秋以降に御河辺橋の橋梁下部工事に着手されます。</w:t>
      </w:r>
    </w:p>
    <w:p w14:paraId="602A25DC"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②昨年度から地元のバイパス推進委員会と協議を行い、ルート案の作成を進めています。現在は地形測量を行っており、今後は整備に必要な設計を実施する予定です。</w:t>
      </w:r>
    </w:p>
    <w:p w14:paraId="4BFB4695"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③令和元年に示されたルートの原案が、今年度ようやく沿線８自治会の代表者会議でルート案として合意を得ました。現在は全線の地形測量を行っており、今後は整備に必要な設計を複数年にわたり実施する予定です。</w:t>
      </w:r>
    </w:p>
    <w:p w14:paraId="01CF9DEC" w14:textId="77777777" w:rsidR="00A0750A" w:rsidRDefault="00A0750A" w:rsidP="00A0750A">
      <w:pPr>
        <w:snapToGrid w:val="0"/>
        <w:spacing w:line="360" w:lineRule="exact"/>
        <w:rPr>
          <w:rFonts w:asciiTheme="minorEastAsia" w:hAnsiTheme="minorEastAsia"/>
        </w:rPr>
      </w:pPr>
    </w:p>
    <w:p w14:paraId="14EA0768" w14:textId="77777777" w:rsidR="00A0750A" w:rsidRDefault="00A0750A" w:rsidP="00A0750A">
      <w:pPr>
        <w:snapToGrid w:val="0"/>
        <w:spacing w:line="360" w:lineRule="exact"/>
        <w:rPr>
          <w:rFonts w:asciiTheme="minorEastAsia" w:hAnsiTheme="minorEastAsia"/>
        </w:rPr>
      </w:pPr>
    </w:p>
    <w:p w14:paraId="712ADBC0"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東近江市民クラブ</w:t>
      </w:r>
    </w:p>
    <w:p w14:paraId="143D43B9" w14:textId="77777777" w:rsidR="00A0750A" w:rsidRDefault="00A0750A" w:rsidP="00A0750A">
      <w:pPr>
        <w:snapToGrid w:val="0"/>
        <w:spacing w:line="360" w:lineRule="exact"/>
        <w:rPr>
          <w:rFonts w:asciiTheme="minorEastAsia" w:hAnsiTheme="minorEastAsia"/>
        </w:rPr>
      </w:pPr>
      <w:r w:rsidRPr="002546D2">
        <w:rPr>
          <w:rFonts w:asciiTheme="minorEastAsia" w:hAnsiTheme="minorEastAsia" w:hint="eastAsia"/>
        </w:rPr>
        <w:t>和田　喜藏</w:t>
      </w:r>
    </w:p>
    <w:p w14:paraId="0D5BC423" w14:textId="51B3CA92" w:rsidR="00A0750A" w:rsidRPr="002546D2" w:rsidRDefault="00E610B7" w:rsidP="00A0750A">
      <w:pPr>
        <w:snapToGrid w:val="0"/>
        <w:spacing w:line="360" w:lineRule="exact"/>
        <w:rPr>
          <w:rFonts w:asciiTheme="minorEastAsia" w:hAnsiTheme="minorEastAsia"/>
        </w:rPr>
      </w:pPr>
      <w:r>
        <w:rPr>
          <w:rFonts w:asciiTheme="minorEastAsia" w:hAnsiTheme="minorEastAsia" w:hint="eastAsia"/>
        </w:rPr>
        <w:t xml:space="preserve">Ｑ　</w:t>
      </w:r>
      <w:r w:rsidR="00A0750A" w:rsidRPr="002546D2">
        <w:rPr>
          <w:rFonts w:asciiTheme="minorEastAsia" w:hAnsiTheme="minorEastAsia" w:hint="eastAsia"/>
        </w:rPr>
        <w:t>布引の森について、</w:t>
      </w:r>
    </w:p>
    <w:p w14:paraId="14802179" w14:textId="36D633DC"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lastRenderedPageBreak/>
        <w:t>①令和６年度の利用者数は。</w:t>
      </w:r>
    </w:p>
    <w:p w14:paraId="1290DFA0"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②布引の森の魅力は。</w:t>
      </w:r>
    </w:p>
    <w:p w14:paraId="5ADFA73C"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③布引の森のＰＲ方法は。</w:t>
      </w:r>
    </w:p>
    <w:p w14:paraId="511F85C8"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④今後の取り組みの計画は。</w:t>
      </w:r>
    </w:p>
    <w:p w14:paraId="415C3375" w14:textId="77777777" w:rsidR="00A0750A" w:rsidRPr="002546D2"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2546D2">
        <w:rPr>
          <w:rFonts w:asciiTheme="minorEastAsia" w:hAnsiTheme="minorEastAsia" w:hint="eastAsia"/>
        </w:rPr>
        <w:t>①本年２月末現在で３，６３７人です。</w:t>
      </w:r>
    </w:p>
    <w:p w14:paraId="092ED544" w14:textId="77777777" w:rsidR="00A0750A" w:rsidRPr="002546D2" w:rsidRDefault="00A0750A" w:rsidP="00A0750A">
      <w:pPr>
        <w:snapToGrid w:val="0"/>
        <w:spacing w:line="360" w:lineRule="exact"/>
        <w:rPr>
          <w:rFonts w:asciiTheme="minorEastAsia" w:hAnsiTheme="minorEastAsia"/>
        </w:rPr>
      </w:pPr>
      <w:r w:rsidRPr="002546D2">
        <w:rPr>
          <w:rFonts w:asciiTheme="minorEastAsia" w:hAnsiTheme="minorEastAsia" w:hint="eastAsia"/>
        </w:rPr>
        <w:t>②起伏を楽しめる遊歩道を巡ることで、この地域本来の里山の動植物を四季折々に楽しめます。</w:t>
      </w:r>
    </w:p>
    <w:p w14:paraId="64B8494C" w14:textId="77777777" w:rsidR="00A0750A" w:rsidRPr="002546D2" w:rsidRDefault="00A0750A" w:rsidP="00A0750A">
      <w:pPr>
        <w:snapToGrid w:val="0"/>
        <w:spacing w:line="360" w:lineRule="exact"/>
        <w:ind w:firstLineChars="100" w:firstLine="210"/>
        <w:rPr>
          <w:rFonts w:asciiTheme="minorEastAsia" w:hAnsiTheme="minorEastAsia"/>
        </w:rPr>
      </w:pPr>
      <w:r w:rsidRPr="002546D2">
        <w:rPr>
          <w:rFonts w:asciiTheme="minorEastAsia" w:hAnsiTheme="minorEastAsia" w:hint="eastAsia"/>
        </w:rPr>
        <w:t>また、これらの環境を生かしてさまざまなイベントを開催しており、自然観察会をはじめ初心者向けの山歩きや薪割り体験などの親子イベント、防災をテーマとした自然体験活動など、さまざまな体験ができることも魅力であると考えています。</w:t>
      </w:r>
    </w:p>
    <w:p w14:paraId="0CE0E046" w14:textId="77777777" w:rsidR="00A0750A" w:rsidRPr="002546D2" w:rsidRDefault="00A0750A" w:rsidP="004664F8">
      <w:pPr>
        <w:snapToGrid w:val="0"/>
        <w:spacing w:line="360" w:lineRule="exact"/>
        <w:rPr>
          <w:rFonts w:asciiTheme="minorEastAsia" w:hAnsiTheme="minorEastAsia"/>
        </w:rPr>
      </w:pPr>
      <w:r w:rsidRPr="002546D2">
        <w:rPr>
          <w:rFonts w:asciiTheme="minorEastAsia" w:hAnsiTheme="minorEastAsia" w:hint="eastAsia"/>
        </w:rPr>
        <w:t>③ＳＮＳでの情報発信と公共施設でのリーフレットやイベントのチラシ設置などで周知に努めています。</w:t>
      </w:r>
    </w:p>
    <w:p w14:paraId="2A0893FB" w14:textId="382F918E" w:rsidR="00A0750A" w:rsidRDefault="00A0750A" w:rsidP="002E3A72">
      <w:pPr>
        <w:snapToGrid w:val="0"/>
        <w:spacing w:line="360" w:lineRule="exact"/>
        <w:rPr>
          <w:rFonts w:asciiTheme="minorEastAsia" w:hAnsiTheme="minorEastAsia"/>
        </w:rPr>
      </w:pPr>
      <w:r w:rsidRPr="002546D2">
        <w:rPr>
          <w:rFonts w:asciiTheme="minorEastAsia" w:hAnsiTheme="minorEastAsia" w:hint="eastAsia"/>
        </w:rPr>
        <w:t>④起伏のある里山の環境を生かした活用を図りたいと考えています。市内にある森里川湖の多様で豊かな自然との連携を図ることで、布引の森でより深い学びや体験が提供できるように取り組んでいきたいと考えています。</w:t>
      </w:r>
    </w:p>
    <w:p w14:paraId="2621C0A7" w14:textId="77777777" w:rsidR="00A0750A" w:rsidRDefault="00A0750A" w:rsidP="00A0750A">
      <w:pPr>
        <w:snapToGrid w:val="0"/>
        <w:spacing w:line="360" w:lineRule="exact"/>
        <w:rPr>
          <w:rFonts w:asciiTheme="minorEastAsia" w:hAnsiTheme="minorEastAsia"/>
        </w:rPr>
      </w:pPr>
    </w:p>
    <w:p w14:paraId="77E8908B" w14:textId="77777777" w:rsidR="00A0750A" w:rsidRDefault="00A0750A" w:rsidP="00A0750A">
      <w:pPr>
        <w:snapToGrid w:val="0"/>
        <w:spacing w:line="360" w:lineRule="exact"/>
        <w:rPr>
          <w:rFonts w:asciiTheme="minorEastAsia" w:hAnsiTheme="minorEastAsia"/>
        </w:rPr>
      </w:pPr>
    </w:p>
    <w:p w14:paraId="2FFE2872"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東近江市民クラブ</w:t>
      </w:r>
    </w:p>
    <w:p w14:paraId="4462724F"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西澤　由男</w:t>
      </w:r>
    </w:p>
    <w:p w14:paraId="0FC812D3" w14:textId="77777777"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Ｑ　</w:t>
      </w:r>
      <w:r w:rsidRPr="00E80E51">
        <w:rPr>
          <w:rFonts w:asciiTheme="minorEastAsia" w:hAnsiTheme="minorEastAsia" w:hint="eastAsia"/>
        </w:rPr>
        <w:t>産業用地開発事業選定について、</w:t>
      </w:r>
    </w:p>
    <w:p w14:paraId="0986DF21"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①どのような業種を誘致しようとしているのか。</w:t>
      </w:r>
    </w:p>
    <w:p w14:paraId="162AAA7D"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②人口流入の受け皿となる長峰団地を活用するには、進行途中の事業を促進することが効果的と考えるが、見解は。</w:t>
      </w:r>
    </w:p>
    <w:p w14:paraId="7DDB4B68" w14:textId="77777777"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E80E51">
        <w:rPr>
          <w:rFonts w:asciiTheme="minorEastAsia" w:hAnsiTheme="minorEastAsia" w:hint="eastAsia"/>
        </w:rPr>
        <w:t>①具体的な業種は定まっていませんが、県と連携しながら丁寧に企業誘致を進めていきます。</w:t>
      </w:r>
    </w:p>
    <w:p w14:paraId="60E8D85B"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②団地内の貫通道路の開通や診療所の充実が進むことは住民の利便性や防災対策に大きく寄与することから、団地内の住環境の充実が図られると考えます。</w:t>
      </w:r>
    </w:p>
    <w:p w14:paraId="5FC0F366" w14:textId="5CA17A51" w:rsidR="00A0750A" w:rsidRPr="00E80E51" w:rsidRDefault="00A0750A" w:rsidP="00A0750A">
      <w:pPr>
        <w:snapToGrid w:val="0"/>
        <w:spacing w:line="360" w:lineRule="exact"/>
        <w:rPr>
          <w:rFonts w:asciiTheme="minorEastAsia" w:hAnsiTheme="minorEastAsia"/>
        </w:rPr>
      </w:pPr>
    </w:p>
    <w:p w14:paraId="04F5162C" w14:textId="39DE5A81" w:rsidR="00E610B7" w:rsidRDefault="00A0750A" w:rsidP="00A0750A">
      <w:pPr>
        <w:snapToGrid w:val="0"/>
        <w:spacing w:line="360" w:lineRule="exact"/>
        <w:rPr>
          <w:rFonts w:asciiTheme="minorEastAsia" w:hAnsiTheme="minorEastAsia"/>
        </w:rPr>
      </w:pPr>
      <w:r>
        <w:rPr>
          <w:rFonts w:asciiTheme="minorEastAsia" w:hAnsiTheme="minorEastAsia" w:hint="eastAsia"/>
        </w:rPr>
        <w:t xml:space="preserve">Ｑ　</w:t>
      </w:r>
      <w:r w:rsidR="00E610B7" w:rsidRPr="00E80E51">
        <w:rPr>
          <w:rFonts w:asciiTheme="minorEastAsia" w:hAnsiTheme="minorEastAsia" w:hint="eastAsia"/>
        </w:rPr>
        <w:t>大阪・関西万博のガリ版関連の出展について、</w:t>
      </w:r>
    </w:p>
    <w:p w14:paraId="08466FD1" w14:textId="52904D5F"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①出展の日時や場所、形態や内容は。</w:t>
      </w:r>
    </w:p>
    <w:p w14:paraId="113C5DA6"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②今回の出展で期待する効果や成果は。</w:t>
      </w:r>
    </w:p>
    <w:p w14:paraId="53E17009" w14:textId="77777777"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E80E51">
        <w:rPr>
          <w:rFonts w:asciiTheme="minorEastAsia" w:hAnsiTheme="minorEastAsia" w:hint="eastAsia"/>
        </w:rPr>
        <w:t>①6月２５日に関西パビリオンで出展します。ガリ版体験を蒲生地区まちづくり協議会が担当し、市はガリ版を紹介する展示や解説を担当します。</w:t>
      </w:r>
    </w:p>
    <w:p w14:paraId="692E5BCE" w14:textId="4B2A3F01"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②万博への出展により世界の人々がガリ版に触れ、日本の印刷文化の近代化に果たした役割の大きさを知ってもらうとともに、その発祥の地である本市の存在を広くアピールすることができると考えます。</w:t>
      </w:r>
    </w:p>
    <w:p w14:paraId="3284CF9E" w14:textId="77777777" w:rsidR="00A0750A" w:rsidRDefault="00A0750A" w:rsidP="00A0750A">
      <w:pPr>
        <w:snapToGrid w:val="0"/>
        <w:spacing w:line="360" w:lineRule="exact"/>
        <w:rPr>
          <w:rFonts w:asciiTheme="minorEastAsia" w:hAnsiTheme="minorEastAsia"/>
        </w:rPr>
      </w:pPr>
    </w:p>
    <w:p w14:paraId="0BBAE51F"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東近江市民クラブ</w:t>
      </w:r>
    </w:p>
    <w:p w14:paraId="1BF47F7A"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西村　和恭</w:t>
      </w:r>
    </w:p>
    <w:p w14:paraId="0DCB1B0E" w14:textId="77777777" w:rsidR="00A0750A" w:rsidRPr="00E80E51" w:rsidRDefault="00A0750A" w:rsidP="00A0750A">
      <w:pPr>
        <w:snapToGrid w:val="0"/>
        <w:spacing w:line="360" w:lineRule="exact"/>
        <w:rPr>
          <w:rFonts w:asciiTheme="minorEastAsia" w:hAnsiTheme="minorEastAsia"/>
        </w:rPr>
      </w:pPr>
      <w:bookmarkStart w:id="0" w:name="_Hlk197587331"/>
      <w:r>
        <w:rPr>
          <w:rFonts w:asciiTheme="minorEastAsia" w:hAnsiTheme="minorEastAsia" w:hint="eastAsia"/>
        </w:rPr>
        <w:t xml:space="preserve">Ｑ　</w:t>
      </w:r>
      <w:bookmarkEnd w:id="0"/>
      <w:r w:rsidRPr="00E80E51">
        <w:rPr>
          <w:rFonts w:asciiTheme="minorEastAsia" w:hAnsiTheme="minorEastAsia" w:hint="eastAsia"/>
        </w:rPr>
        <w:t>（仮称）森の文化博物館基本計画について、</w:t>
      </w:r>
    </w:p>
    <w:p w14:paraId="43D9903F"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①フォーラムの開催や鈴鹿の森の多様性を体感できるイベントなどを通じて、計画の概要や意義を伝えていくべきでは。</w:t>
      </w:r>
    </w:p>
    <w:p w14:paraId="0C7FA884"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②企業や大学、研究機関との連携の可能性は。</w:t>
      </w:r>
    </w:p>
    <w:p w14:paraId="18708B73" w14:textId="77777777"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E80E51">
        <w:rPr>
          <w:rFonts w:asciiTheme="minorEastAsia" w:hAnsiTheme="minorEastAsia" w:hint="eastAsia"/>
        </w:rPr>
        <w:t>①フォーラムの開催をはじめ、ケーブルテレビ、ＳＮＳや市広報紙など、あらゆる媒体を通じて、この計画が目指す目標や取り組みについて、広く認識していただく必要があると考えています。</w:t>
      </w:r>
    </w:p>
    <w:p w14:paraId="30A276CC"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本市を研究フィールドとして継続的に活動されている国の機関、森林総合研究所関西支所と今後の取り組みのさらなる推進を図るための協定を締結しました。また、すでに鈴鹿の森で研究や実験的な取り組みをされている大学もあり、加えて新たに研究フィールドとしての活用についての打診もあります。</w:t>
      </w:r>
    </w:p>
    <w:p w14:paraId="63B4368A"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 xml:space="preserve">　鈴鹿の森の取り組みに対して、研究機関や民間団体などの注目が集まれば、森と人のつながりを再構築するための方策など、さらに多くの専門的知見が集まり、活動への波及効果が期待できると考えています。</w:t>
      </w:r>
    </w:p>
    <w:p w14:paraId="139D4273" w14:textId="77777777" w:rsidR="00A0750A" w:rsidRDefault="00A0750A" w:rsidP="00A0750A">
      <w:pPr>
        <w:snapToGrid w:val="0"/>
        <w:spacing w:line="360" w:lineRule="exact"/>
        <w:rPr>
          <w:rFonts w:asciiTheme="minorEastAsia" w:hAnsiTheme="minorEastAsia"/>
        </w:rPr>
      </w:pPr>
    </w:p>
    <w:p w14:paraId="130AE1FD" w14:textId="77777777" w:rsidR="00A0750A" w:rsidRDefault="00A0750A" w:rsidP="00A0750A">
      <w:pPr>
        <w:snapToGrid w:val="0"/>
        <w:spacing w:line="360" w:lineRule="exact"/>
        <w:rPr>
          <w:rFonts w:asciiTheme="minorEastAsia" w:hAnsiTheme="minorEastAsia"/>
        </w:rPr>
      </w:pPr>
    </w:p>
    <w:p w14:paraId="238C60D5"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東近江市民クラブ</w:t>
      </w:r>
    </w:p>
    <w:p w14:paraId="5B6B8E83"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浅居　 笑</w:t>
      </w:r>
    </w:p>
    <w:p w14:paraId="48472E33" w14:textId="77777777"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Ｑ　</w:t>
      </w:r>
      <w:r w:rsidRPr="00E80E51">
        <w:rPr>
          <w:rFonts w:asciiTheme="minorEastAsia" w:hAnsiTheme="minorEastAsia" w:hint="eastAsia"/>
        </w:rPr>
        <w:t>危機管理事案発生における支所の役割と支所長の権限について、</w:t>
      </w:r>
    </w:p>
    <w:p w14:paraId="6DC448F8"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①２月の大雪で積雪が多かった地域の状況と支所の初動対応は。</w:t>
      </w:r>
    </w:p>
    <w:p w14:paraId="1E304842"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②地域防災監の役割と権限は。</w:t>
      </w:r>
    </w:p>
    <w:p w14:paraId="6062B911" w14:textId="7FB22CD1" w:rsidR="00A0750A" w:rsidRPr="00E80E51" w:rsidRDefault="00A0750A" w:rsidP="00A0750A">
      <w:pPr>
        <w:snapToGrid w:val="0"/>
        <w:spacing w:line="360" w:lineRule="exact"/>
        <w:rPr>
          <w:rFonts w:asciiTheme="minorEastAsia" w:hAnsiTheme="minorEastAsia"/>
        </w:rPr>
      </w:pPr>
      <w:r>
        <w:rPr>
          <w:rFonts w:asciiTheme="minorEastAsia" w:hAnsiTheme="minorEastAsia" w:hint="eastAsia"/>
        </w:rPr>
        <w:t xml:space="preserve">Ａ　</w:t>
      </w:r>
      <w:r w:rsidRPr="00E80E51">
        <w:rPr>
          <w:rFonts w:asciiTheme="minorEastAsia" w:hAnsiTheme="minorEastAsia" w:hint="eastAsia"/>
        </w:rPr>
        <w:t>①今回の寒波では、愛東地区の山間部と永源寺地区の東部で多くの積雪がありました。特に永源寺地区の東部では、地域の自治会や協力業者によって除雪をしていただいていましたが、除雪した雪の排出ができず、雪寒担当職員が中心となり、堆積した雪の排出作業を行いました。</w:t>
      </w:r>
    </w:p>
    <w:p w14:paraId="517FA780" w14:textId="716E5851"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 xml:space="preserve">　支所の初動対応については、各支所で編成している雪寒配備態勢に基づき道路パトロールを実施し、積雪や路面凍結の状況に応じて協力業者への除雪依頼や融雪剤の散布などを行いました。</w:t>
      </w:r>
    </w:p>
    <w:p w14:paraId="2949C746"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②地域防災監は、市長直轄組織に位置付け、支所長が兼務しています。各地域のさまざまな危機管理事案に迅速かつ的確に対応することを役割とし、危機事案における職員への指揮・命令を権限としています。</w:t>
      </w:r>
    </w:p>
    <w:p w14:paraId="0E6E7FE1" w14:textId="77777777" w:rsidR="00A0750A" w:rsidRDefault="00A0750A" w:rsidP="00A0750A">
      <w:pPr>
        <w:snapToGrid w:val="0"/>
        <w:spacing w:line="360" w:lineRule="exact"/>
        <w:rPr>
          <w:rFonts w:asciiTheme="minorEastAsia" w:hAnsiTheme="minorEastAsia"/>
        </w:rPr>
      </w:pPr>
    </w:p>
    <w:p w14:paraId="402C9E19" w14:textId="77777777" w:rsidR="00A0750A" w:rsidRDefault="00A0750A" w:rsidP="00A0750A">
      <w:pPr>
        <w:snapToGrid w:val="0"/>
        <w:spacing w:line="360" w:lineRule="exact"/>
        <w:rPr>
          <w:rFonts w:asciiTheme="minorEastAsia" w:hAnsiTheme="minorEastAsia"/>
        </w:rPr>
      </w:pPr>
    </w:p>
    <w:p w14:paraId="0ABA0A3D"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lastRenderedPageBreak/>
        <w:t>新政無所属の会</w:t>
      </w:r>
    </w:p>
    <w:p w14:paraId="1E2781E1" w14:textId="39E8FD3F" w:rsidR="00A0750A" w:rsidRDefault="00381FB8" w:rsidP="00A0750A">
      <w:pPr>
        <w:snapToGrid w:val="0"/>
        <w:spacing w:line="360" w:lineRule="exact"/>
        <w:rPr>
          <w:rFonts w:asciiTheme="minorEastAsia" w:hAnsiTheme="minorEastAsia"/>
        </w:rPr>
      </w:pPr>
      <w:r>
        <w:rPr>
          <w:rFonts w:asciiTheme="minorEastAsia" w:hAnsiTheme="minorEastAsia" w:hint="eastAsia"/>
        </w:rPr>
        <w:t>中村</w:t>
      </w:r>
      <w:r w:rsidR="00A0750A" w:rsidRPr="00E80E51">
        <w:rPr>
          <w:rFonts w:asciiTheme="minorEastAsia" w:hAnsiTheme="minorEastAsia" w:hint="eastAsia"/>
        </w:rPr>
        <w:t xml:space="preserve">　和広</w:t>
      </w:r>
    </w:p>
    <w:p w14:paraId="6CAE65A9" w14:textId="440FCCBA" w:rsidR="00A0750A" w:rsidRPr="00E80E51" w:rsidRDefault="00381FB8" w:rsidP="00A0750A">
      <w:pPr>
        <w:snapToGrid w:val="0"/>
        <w:spacing w:line="360" w:lineRule="exact"/>
        <w:rPr>
          <w:rFonts w:asciiTheme="minorEastAsia" w:hAnsiTheme="minorEastAsia"/>
        </w:rPr>
      </w:pPr>
      <w:r>
        <w:rPr>
          <w:rFonts w:asciiTheme="minorEastAsia" w:hAnsiTheme="minorEastAsia" w:hint="eastAsia"/>
        </w:rPr>
        <w:t xml:space="preserve">Ｑ　</w:t>
      </w:r>
      <w:r w:rsidR="00A0750A" w:rsidRPr="00E80E51">
        <w:rPr>
          <w:rFonts w:asciiTheme="minorEastAsia" w:hAnsiTheme="minorEastAsia" w:hint="eastAsia"/>
        </w:rPr>
        <w:t>ネイチャーポジティブは、鈴鹿の山々から琵琶湖までの森里川湖を市域に有している本市においても非常に意義深いものであるが、</w:t>
      </w:r>
    </w:p>
    <w:p w14:paraId="797EE4D3"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①ネイチャーポジティブ宣言をする意義は。</w:t>
      </w:r>
    </w:p>
    <w:p w14:paraId="141D6A2A" w14:textId="77777777" w:rsidR="00A0750A" w:rsidRPr="00E80E51" w:rsidRDefault="00A0750A" w:rsidP="00A0750A">
      <w:pPr>
        <w:snapToGrid w:val="0"/>
        <w:spacing w:line="360" w:lineRule="exact"/>
        <w:rPr>
          <w:rFonts w:asciiTheme="minorEastAsia" w:hAnsiTheme="minorEastAsia"/>
        </w:rPr>
      </w:pPr>
      <w:r w:rsidRPr="00E80E51">
        <w:rPr>
          <w:rFonts w:asciiTheme="minorEastAsia" w:hAnsiTheme="minorEastAsia" w:hint="eastAsia"/>
        </w:rPr>
        <w:t>②（仮称）森の文化博物館基本計画で、どのように子どもたちの心の癒しなどを実現しつつ、生物多様性を満たしていくのか。</w:t>
      </w:r>
    </w:p>
    <w:p w14:paraId="477E9C4F" w14:textId="04A25E32" w:rsidR="00A0750A" w:rsidRPr="00E80E51" w:rsidRDefault="002E3A72" w:rsidP="00A0750A">
      <w:pPr>
        <w:snapToGrid w:val="0"/>
        <w:spacing w:line="360" w:lineRule="exact"/>
        <w:rPr>
          <w:rFonts w:asciiTheme="minorEastAsia" w:hAnsiTheme="minorEastAsia"/>
        </w:rPr>
      </w:pPr>
      <w:r>
        <w:rPr>
          <w:rFonts w:asciiTheme="minorEastAsia" w:hAnsiTheme="minorEastAsia" w:hint="eastAsia"/>
        </w:rPr>
        <w:t>Ａ</w:t>
      </w:r>
      <w:r>
        <w:rPr>
          <w:rFonts w:asciiTheme="minorEastAsia" w:hAnsiTheme="minorEastAsia" w:hint="eastAsia"/>
        </w:rPr>
        <w:t xml:space="preserve">　</w:t>
      </w:r>
      <w:r w:rsidR="00A0750A" w:rsidRPr="00E80E51">
        <w:rPr>
          <w:rFonts w:asciiTheme="minorEastAsia" w:hAnsiTheme="minorEastAsia" w:hint="eastAsia"/>
        </w:rPr>
        <w:t>①環境保全の取り組みだけではなく、社会や経済活動も視野に入れ総合的に取り組んでいくべきものとして、本市の取り組みを内外に発信することで、企業をはじめとした多様な主体との連携を図り、環境政策の推進に寄与するものと考えています。</w:t>
      </w:r>
    </w:p>
    <w:p w14:paraId="5F3F4E60" w14:textId="77777777" w:rsidR="00A0750A" w:rsidRDefault="00A0750A" w:rsidP="00A0750A">
      <w:pPr>
        <w:snapToGrid w:val="0"/>
        <w:spacing w:line="360" w:lineRule="exact"/>
        <w:rPr>
          <w:rFonts w:asciiTheme="minorEastAsia" w:hAnsiTheme="minorEastAsia"/>
        </w:rPr>
      </w:pPr>
      <w:r w:rsidRPr="00E80E51">
        <w:rPr>
          <w:rFonts w:asciiTheme="minorEastAsia" w:hAnsiTheme="minorEastAsia" w:hint="eastAsia"/>
        </w:rPr>
        <w:t>②市内には森を体験し、身近な自然や里山を知り興味を持ってもらう施設が複数あり、森と人が気軽に関わる場として事業を展開しています。これらと連携しながら、エコツーリズムや森の体験など、さらに一歩進んだ活動において、心の癒しや子どもたちの生きる力を育み、森と人とのつながりを再構築することにより、地域資源を支える生物多様性の保全につながるものと考えています。</w:t>
      </w:r>
    </w:p>
    <w:p w14:paraId="5B6D1067" w14:textId="77777777" w:rsidR="005E7486" w:rsidRPr="00A0750A" w:rsidRDefault="005E7486" w:rsidP="00A0750A"/>
    <w:sectPr w:rsidR="005E7486" w:rsidRPr="00A075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A2CD" w14:textId="77777777" w:rsidR="00A0750A" w:rsidRDefault="00A0750A" w:rsidP="00A0750A">
      <w:r>
        <w:separator/>
      </w:r>
    </w:p>
  </w:endnote>
  <w:endnote w:type="continuationSeparator" w:id="0">
    <w:p w14:paraId="0DBFF4DB" w14:textId="77777777" w:rsidR="00A0750A" w:rsidRDefault="00A0750A"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0613" w14:textId="77777777" w:rsidR="00A0750A" w:rsidRDefault="00A0750A" w:rsidP="00A0750A">
      <w:r>
        <w:separator/>
      </w:r>
    </w:p>
  </w:footnote>
  <w:footnote w:type="continuationSeparator" w:id="0">
    <w:p w14:paraId="6E457E1A" w14:textId="77777777" w:rsidR="00A0750A" w:rsidRDefault="00A0750A" w:rsidP="00A07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61"/>
    <w:rsid w:val="00074FAA"/>
    <w:rsid w:val="00097C30"/>
    <w:rsid w:val="000A5308"/>
    <w:rsid w:val="001B6661"/>
    <w:rsid w:val="002C2A7B"/>
    <w:rsid w:val="002E3A72"/>
    <w:rsid w:val="00381FB8"/>
    <w:rsid w:val="003E60CC"/>
    <w:rsid w:val="004664F8"/>
    <w:rsid w:val="00525CDD"/>
    <w:rsid w:val="005E7486"/>
    <w:rsid w:val="007010F1"/>
    <w:rsid w:val="00902E9F"/>
    <w:rsid w:val="00907B92"/>
    <w:rsid w:val="00A0750A"/>
    <w:rsid w:val="00A95BC1"/>
    <w:rsid w:val="00DB678F"/>
    <w:rsid w:val="00E610B7"/>
    <w:rsid w:val="00F47E0A"/>
    <w:rsid w:val="00F773D6"/>
    <w:rsid w:val="00FD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FD10D"/>
  <w15:chartTrackingRefBased/>
  <w15:docId w15:val="{94228FE1-2944-4097-9650-2CC54367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0A"/>
    <w:pPr>
      <w:spacing w:after="0" w:line="240" w:lineRule="auto"/>
      <w:jc w:val="both"/>
    </w:pPr>
    <w:rPr>
      <w:sz w:val="21"/>
      <w:szCs w:val="22"/>
      <w14:ligatures w14:val="none"/>
    </w:rPr>
  </w:style>
  <w:style w:type="paragraph" w:styleId="1">
    <w:name w:val="heading 1"/>
    <w:basedOn w:val="a"/>
    <w:next w:val="a"/>
    <w:link w:val="10"/>
    <w:uiPriority w:val="9"/>
    <w:qFormat/>
    <w:rsid w:val="001B6661"/>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B6661"/>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B6661"/>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B6661"/>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B6661"/>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B6661"/>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B6661"/>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B6661"/>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B6661"/>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66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B66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B666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B66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B66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B66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B66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B66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B66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B6661"/>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B6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61"/>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B6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61"/>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B6661"/>
    <w:rPr>
      <w:i/>
      <w:iCs/>
      <w:color w:val="404040" w:themeColor="text1" w:themeTint="BF"/>
    </w:rPr>
  </w:style>
  <w:style w:type="paragraph" w:styleId="a9">
    <w:name w:val="List Paragraph"/>
    <w:basedOn w:val="a"/>
    <w:uiPriority w:val="34"/>
    <w:qFormat/>
    <w:rsid w:val="001B6661"/>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1B6661"/>
    <w:rPr>
      <w:i/>
      <w:iCs/>
      <w:color w:val="0F4761" w:themeColor="accent1" w:themeShade="BF"/>
    </w:rPr>
  </w:style>
  <w:style w:type="paragraph" w:styleId="22">
    <w:name w:val="Intense Quote"/>
    <w:basedOn w:val="a"/>
    <w:next w:val="a"/>
    <w:link w:val="23"/>
    <w:uiPriority w:val="30"/>
    <w:qFormat/>
    <w:rsid w:val="001B6661"/>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B6661"/>
    <w:rPr>
      <w:i/>
      <w:iCs/>
      <w:color w:val="0F4761" w:themeColor="accent1" w:themeShade="BF"/>
    </w:rPr>
  </w:style>
  <w:style w:type="character" w:styleId="24">
    <w:name w:val="Intense Reference"/>
    <w:basedOn w:val="a0"/>
    <w:uiPriority w:val="32"/>
    <w:qFormat/>
    <w:rsid w:val="001B6661"/>
    <w:rPr>
      <w:b/>
      <w:bCs/>
      <w:smallCaps/>
      <w:color w:val="0F4761" w:themeColor="accent1" w:themeShade="BF"/>
      <w:spacing w:val="5"/>
    </w:rPr>
  </w:style>
  <w:style w:type="paragraph" w:styleId="aa">
    <w:name w:val="header"/>
    <w:basedOn w:val="a"/>
    <w:link w:val="ab"/>
    <w:uiPriority w:val="99"/>
    <w:unhideWhenUsed/>
    <w:rsid w:val="00A0750A"/>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A0750A"/>
  </w:style>
  <w:style w:type="paragraph" w:styleId="ac">
    <w:name w:val="footer"/>
    <w:basedOn w:val="a"/>
    <w:link w:val="ad"/>
    <w:uiPriority w:val="99"/>
    <w:unhideWhenUsed/>
    <w:rsid w:val="00A0750A"/>
    <w:pPr>
      <w:widowControl w:val="0"/>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ﾌｼﾞｲ ｻﾄﾐ</dc:creator>
  <cp:keywords/>
  <dc:description/>
  <cp:lastModifiedBy>ﾌｼﾞｲ ｻﾄﾐ</cp:lastModifiedBy>
  <cp:revision>7</cp:revision>
  <dcterms:created xsi:type="dcterms:W3CDTF">2025-05-07T01:20:00Z</dcterms:created>
  <dcterms:modified xsi:type="dcterms:W3CDTF">2025-05-08T02:54:00Z</dcterms:modified>
</cp:coreProperties>
</file>