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BF7D6" w14:textId="55F208A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東近江市民クラブ</w:t>
      </w:r>
      <w:r>
        <w:rPr>
          <w:rFonts w:ascii="ＭＳ 明朝" w:eastAsia="ＭＳ 明朝" w:hAnsi="ＭＳ 明朝" w:cs="小塚ゴシック Pro M" w:hint="eastAsia"/>
          <w:color w:val="000000"/>
          <w:kern w:val="0"/>
          <w:szCs w:val="21"/>
          <w:lang w:val="ja-JP"/>
        </w:rPr>
        <w:t xml:space="preserve">　</w:t>
      </w:r>
      <w:r w:rsidRPr="00823D10">
        <w:rPr>
          <w:rFonts w:ascii="ＭＳ 明朝" w:eastAsia="ＭＳ 明朝" w:hAnsi="ＭＳ 明朝" w:cs="小塚ゴシック Pro M" w:hint="eastAsia"/>
          <w:color w:val="000000"/>
          <w:kern w:val="0"/>
          <w:szCs w:val="21"/>
          <w:lang w:val="ja-JP"/>
        </w:rPr>
        <w:t>青山　孝司</w:t>
      </w:r>
    </w:p>
    <w:p w14:paraId="40AF8B62"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ＤＸは暮らし向上インフラ整備</w:t>
      </w:r>
    </w:p>
    <w:p w14:paraId="298302BF" w14:textId="05361262"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823D10">
        <w:rPr>
          <w:rFonts w:ascii="ＭＳ 明朝" w:eastAsia="ＭＳ 明朝" w:hAnsi="ＭＳ 明朝" w:cs="小塚ゴシック Pro M" w:hint="eastAsia"/>
          <w:color w:val="000000"/>
          <w:kern w:val="0"/>
          <w:szCs w:val="21"/>
          <w:lang w:val="ja-JP"/>
        </w:rPr>
        <w:t xml:space="preserve">　ＤＸ関連予算と財政負担について、これまでに投じた総事業費、国庫補助金の活用状況、市単独負担額は。また、今後のランニングコストの見通しは。</w:t>
      </w:r>
    </w:p>
    <w:p w14:paraId="220D328E" w14:textId="0434AB01"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823D10">
        <w:rPr>
          <w:rFonts w:ascii="ＭＳ 明朝" w:eastAsia="ＭＳ 明朝" w:hAnsi="ＭＳ 明朝" w:cs="小塚ゴシック Pro M" w:hint="eastAsia"/>
          <w:color w:val="000000"/>
          <w:kern w:val="0"/>
          <w:szCs w:val="21"/>
          <w:lang w:val="ja-JP"/>
        </w:rPr>
        <w:t xml:space="preserve">　令和４年度から７年度までのハード部分を除くＤＸ関連の総事業費は約７億３千万円でした。国庫補助金約４億２千万円を活用したため、市単独の負担額は約３億１千万円です。</w:t>
      </w:r>
    </w:p>
    <w:p w14:paraId="4ACFDE66" w14:textId="7390F132"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 xml:space="preserve">　今後のランニングコストについては、クラウド利用料、システム保守費、法改正などに伴う改修費を含め、年間約３億７千万円を見込んでいますが、社会情勢の変化などにより増加する可能性もあります。</w:t>
      </w:r>
    </w:p>
    <w:p w14:paraId="2393B9E9"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p>
    <w:p w14:paraId="754FE4BA" w14:textId="5098757D"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823D10">
        <w:rPr>
          <w:rFonts w:ascii="ＭＳ 明朝" w:eastAsia="ＭＳ 明朝" w:hAnsi="ＭＳ 明朝" w:cs="小塚ゴシック Pro M" w:hint="eastAsia"/>
          <w:color w:val="000000"/>
          <w:kern w:val="0"/>
          <w:szCs w:val="21"/>
          <w:lang w:val="ja-JP"/>
        </w:rPr>
        <w:t xml:space="preserve">　現在進めている基幹業務の標準化・ガバメントクラウド移行について、現在の進捗状況、移行スケジュール、想定総費用、セキュリティ対策は。</w:t>
      </w:r>
    </w:p>
    <w:p w14:paraId="7B4A12B9" w14:textId="51154C58"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823D10">
        <w:rPr>
          <w:rFonts w:ascii="ＭＳ 明朝" w:eastAsia="ＭＳ 明朝" w:hAnsi="ＭＳ 明朝" w:cs="小塚ゴシック Pro M" w:hint="eastAsia"/>
          <w:color w:val="000000"/>
          <w:kern w:val="0"/>
          <w:szCs w:val="21"/>
          <w:lang w:val="ja-JP"/>
        </w:rPr>
        <w:t xml:space="preserve">　住民基本台帳など対象20業務全てで、国が示した期限内の移行が完了し、運用を開始しています。移行に要した総費用は、令和４年度から７年度までのＤＸ関連の総事業費のうち約５億８千万円であり、国の交付金を最大限活用しました。</w:t>
      </w:r>
    </w:p>
    <w:p w14:paraId="63BD419C"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 xml:space="preserve">　セキュリティ対策として、各システムのデータを国の定める高度な基準を満たしたデータセンターに移行しました。これにより、サイバー攻撃への安全性は着実に向上しています。</w:t>
      </w:r>
    </w:p>
    <w:p w14:paraId="6E8AE7FE"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p>
    <w:p w14:paraId="11D57583" w14:textId="67D4677B"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東近江市民クラブ</w:t>
      </w:r>
      <w:r>
        <w:rPr>
          <w:rFonts w:ascii="ＭＳ 明朝" w:eastAsia="ＭＳ 明朝" w:hAnsi="ＭＳ 明朝" w:cs="小塚ゴシック Pro M" w:hint="eastAsia"/>
          <w:color w:val="000000"/>
          <w:kern w:val="0"/>
          <w:szCs w:val="21"/>
          <w:lang w:val="ja-JP"/>
        </w:rPr>
        <w:t xml:space="preserve">　</w:t>
      </w:r>
      <w:r w:rsidRPr="00823D10">
        <w:rPr>
          <w:rFonts w:ascii="ＭＳ 明朝" w:eastAsia="ＭＳ 明朝" w:hAnsi="ＭＳ 明朝" w:cs="小塚ゴシック Pro M" w:hint="eastAsia"/>
          <w:color w:val="000000"/>
          <w:kern w:val="0"/>
          <w:szCs w:val="21"/>
          <w:lang w:val="ja-JP"/>
        </w:rPr>
        <w:t>市木　 徹</w:t>
      </w:r>
    </w:p>
    <w:p w14:paraId="4509DE9C"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危機管理監は事務方の要</w:t>
      </w:r>
    </w:p>
    <w:p w14:paraId="26ADCD1B" w14:textId="6E4DAF2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823D10">
        <w:rPr>
          <w:rFonts w:ascii="ＭＳ 明朝" w:eastAsia="ＭＳ 明朝" w:hAnsi="ＭＳ 明朝" w:cs="小塚ゴシック Pro M" w:hint="eastAsia"/>
          <w:color w:val="000000"/>
          <w:kern w:val="0"/>
          <w:szCs w:val="21"/>
          <w:lang w:val="ja-JP"/>
        </w:rPr>
        <w:t xml:space="preserve">　本市の危機管理について、</w:t>
      </w:r>
    </w:p>
    <w:p w14:paraId="74A254C1"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①職員最高の職務と権限を有している危機管理監の職務範囲と事務権限は。</w:t>
      </w:r>
    </w:p>
    <w:p w14:paraId="129A690D"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②想定される危機管理事案の事例は。</w:t>
      </w:r>
    </w:p>
    <w:p w14:paraId="48BCD1CB"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③広域であるが故に地区別に応じた危機対応が必要でないか。</w:t>
      </w:r>
    </w:p>
    <w:p w14:paraId="0EC929D2"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④サイバー攻撃による個人情報の流出などのリスク回避策は。</w:t>
      </w:r>
    </w:p>
    <w:p w14:paraId="5656254B" w14:textId="465997A5"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823D10">
        <w:rPr>
          <w:rFonts w:ascii="ＭＳ 明朝" w:eastAsia="ＭＳ 明朝" w:hAnsi="ＭＳ 明朝" w:cs="小塚ゴシック Pro M" w:hint="eastAsia"/>
          <w:color w:val="000000"/>
          <w:kern w:val="0"/>
          <w:szCs w:val="21"/>
          <w:lang w:val="ja-JP"/>
        </w:rPr>
        <w:t xml:space="preserve">　①本市におけるさまざまな危機管理・防災事案を所掌し、事案発生時には、全庁的な対応を統括し、事案に応じて各部長に直接指示・命令を行う権限を有しています。</w:t>
      </w:r>
    </w:p>
    <w:p w14:paraId="41E19D71"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②地震や風水害、大雪などの自然災害をはじめ、感染症のまん延や大規模火災などが想定されます。</w:t>
      </w:r>
    </w:p>
    <w:p w14:paraId="0761C0CF"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③本市は広域な市域を有していることから、災害発生時の迅速な対応を想定しています。</w:t>
      </w:r>
    </w:p>
    <w:p w14:paraId="4C2E86FC"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④ハード・ソフト両面でセキュリティ対策に継続的に取り組むことにより、リスク回避に努めています。</w:t>
      </w:r>
    </w:p>
    <w:p w14:paraId="2FFD5DD2"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p>
    <w:p w14:paraId="260506D3" w14:textId="00F53768"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823D10">
        <w:rPr>
          <w:rFonts w:ascii="ＭＳ 明朝" w:eastAsia="ＭＳ 明朝" w:hAnsi="ＭＳ 明朝" w:cs="小塚ゴシック Pro M" w:hint="eastAsia"/>
          <w:color w:val="000000"/>
          <w:kern w:val="0"/>
          <w:szCs w:val="21"/>
          <w:lang w:val="ja-JP"/>
        </w:rPr>
        <w:t xml:space="preserve">　組織は序列が重要であり、事務方のトップである危機管理監は非常に重要な役職である。次長級の管理監は業務をする官であり、「管理官」を使うべきと考えるが。</w:t>
      </w:r>
    </w:p>
    <w:p w14:paraId="29E395B6" w14:textId="3920EBF0"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lastRenderedPageBreak/>
        <w:t>Ａ</w:t>
      </w:r>
      <w:r w:rsidRPr="00823D10">
        <w:rPr>
          <w:rFonts w:ascii="ＭＳ 明朝" w:eastAsia="ＭＳ 明朝" w:hAnsi="ＭＳ 明朝" w:cs="小塚ゴシック Pro M" w:hint="eastAsia"/>
          <w:color w:val="000000"/>
          <w:kern w:val="0"/>
          <w:szCs w:val="21"/>
          <w:lang w:val="ja-JP"/>
        </w:rPr>
        <w:t xml:space="preserve">　「監」の文字を使用する役職は、市長の指定する特命事項を所掌し、関係職員を指揮監督する立場にあるという意味合いで「監」を使用しています。</w:t>
      </w:r>
    </w:p>
    <w:p w14:paraId="7BE2A44B"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p>
    <w:p w14:paraId="7D2F7AE8" w14:textId="392442D6"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公明党</w:t>
      </w:r>
      <w:r>
        <w:rPr>
          <w:rFonts w:ascii="ＭＳ 明朝" w:eastAsia="ＭＳ 明朝" w:hAnsi="ＭＳ 明朝" w:cs="小塚ゴシック Pro M" w:hint="eastAsia"/>
          <w:color w:val="000000"/>
          <w:kern w:val="0"/>
          <w:szCs w:val="21"/>
          <w:lang w:val="ja-JP"/>
        </w:rPr>
        <w:t xml:space="preserve">　</w:t>
      </w:r>
      <w:r w:rsidRPr="00823D10">
        <w:rPr>
          <w:rFonts w:ascii="ＭＳ 明朝" w:eastAsia="ＭＳ 明朝" w:hAnsi="ＭＳ 明朝" w:cs="小塚ゴシック Pro M" w:hint="eastAsia"/>
          <w:color w:val="000000"/>
          <w:kern w:val="0"/>
          <w:szCs w:val="21"/>
          <w:lang w:val="ja-JP"/>
        </w:rPr>
        <w:t>山下　敦司</w:t>
      </w:r>
    </w:p>
    <w:p w14:paraId="218B149D"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ワクチン接種を問う</w:t>
      </w:r>
    </w:p>
    <w:p w14:paraId="6FA28819" w14:textId="7FC43082"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823D10">
        <w:rPr>
          <w:rFonts w:ascii="ＭＳ 明朝" w:eastAsia="ＭＳ 明朝" w:hAnsi="ＭＳ 明朝" w:cs="小塚ゴシック Pro M" w:hint="eastAsia"/>
          <w:color w:val="000000"/>
          <w:kern w:val="0"/>
          <w:szCs w:val="21"/>
          <w:lang w:val="ja-JP"/>
        </w:rPr>
        <w:t xml:space="preserve">　ＨＰＶワクチン接種について、</w:t>
      </w:r>
    </w:p>
    <w:p w14:paraId="494C28B5"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①定期予防接種の個別勧奨通知のリマインド体制の強化と高校１年生までの初回接種率は。</w:t>
      </w:r>
    </w:p>
    <w:p w14:paraId="09C28AE3"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②２回接種で完了する年代への接種勧奨と２回接種で済むことによる財政負担の削減効果は。</w:t>
      </w:r>
    </w:p>
    <w:p w14:paraId="0756E5DC" w14:textId="593E494C"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823D10">
        <w:rPr>
          <w:rFonts w:ascii="ＭＳ 明朝" w:eastAsia="ＭＳ 明朝" w:hAnsi="ＭＳ 明朝" w:cs="小塚ゴシック Pro M" w:hint="eastAsia"/>
          <w:color w:val="000000"/>
          <w:kern w:val="0"/>
          <w:szCs w:val="21"/>
          <w:lang w:val="ja-JP"/>
        </w:rPr>
        <w:t xml:space="preserve">　①現在</w:t>
      </w:r>
      <w:r>
        <w:rPr>
          <w:rFonts w:ascii="ＭＳ 明朝" w:eastAsia="ＭＳ 明朝" w:hAnsi="ＭＳ 明朝" w:cs="小塚ゴシック Pro M" w:hint="eastAsia"/>
          <w:color w:val="000000"/>
          <w:kern w:val="0"/>
          <w:szCs w:val="21"/>
          <w:lang w:val="ja-JP"/>
        </w:rPr>
        <w:t>LINE</w:t>
      </w:r>
      <w:r w:rsidRPr="00823D10">
        <w:rPr>
          <w:rFonts w:ascii="ＭＳ 明朝" w:eastAsia="ＭＳ 明朝" w:hAnsi="ＭＳ 明朝" w:cs="小塚ゴシック Pro M" w:hint="eastAsia"/>
          <w:color w:val="000000"/>
          <w:kern w:val="0"/>
          <w:szCs w:val="21"/>
          <w:lang w:val="ja-JP"/>
        </w:rPr>
        <w:t>などにより周知しています。今後、母子手帳アプリも活用していきます。小学６年生から高校１年生相当までの５学年の間に初回接種を済ませた者の割合は令和６年度で59</w:t>
      </w:r>
      <w:r>
        <w:rPr>
          <w:rFonts w:ascii="ＭＳ 明朝" w:eastAsia="ＭＳ 明朝" w:hAnsi="ＭＳ 明朝" w:cs="小塚ゴシック Pro M" w:hint="eastAsia"/>
          <w:color w:val="000000"/>
          <w:kern w:val="0"/>
          <w:szCs w:val="21"/>
          <w:lang w:val="ja-JP"/>
        </w:rPr>
        <w:t>.4</w:t>
      </w:r>
      <w:r w:rsidRPr="00823D10">
        <w:rPr>
          <w:rFonts w:ascii="ＭＳ 明朝" w:eastAsia="ＭＳ 明朝" w:hAnsi="ＭＳ 明朝" w:cs="小塚ゴシック Pro M" w:hint="eastAsia"/>
          <w:color w:val="000000"/>
          <w:kern w:val="0"/>
          <w:szCs w:val="21"/>
          <w:lang w:val="ja-JP"/>
        </w:rPr>
        <w:t>％です。</w:t>
      </w:r>
    </w:p>
    <w:p w14:paraId="2BBCCFA9" w14:textId="7CA71FA9" w:rsid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②早期に接種を開始することは、接種回数が２回で済み、体への負担が軽くなることから、小学６年生の４月に予診票などを郵送して勧奨しています。１回当たりの接種費用は２万</w:t>
      </w:r>
      <w:r>
        <w:rPr>
          <w:rFonts w:ascii="ＭＳ 明朝" w:eastAsia="ＭＳ 明朝" w:hAnsi="ＭＳ 明朝" w:cs="小塚ゴシック Pro M" w:hint="eastAsia"/>
          <w:color w:val="000000"/>
          <w:kern w:val="0"/>
          <w:szCs w:val="21"/>
          <w:lang w:val="ja-JP"/>
        </w:rPr>
        <w:t>6,780</w:t>
      </w:r>
      <w:r w:rsidRPr="00823D10">
        <w:rPr>
          <w:rFonts w:ascii="ＭＳ 明朝" w:eastAsia="ＭＳ 明朝" w:hAnsi="ＭＳ 明朝" w:cs="小塚ゴシック Pro M" w:hint="eastAsia"/>
          <w:color w:val="000000"/>
          <w:kern w:val="0"/>
          <w:szCs w:val="21"/>
          <w:lang w:val="ja-JP"/>
        </w:rPr>
        <w:t>円です。３回接種が２回となることで軽減となります。</w:t>
      </w:r>
    </w:p>
    <w:p w14:paraId="0AB89A8B" w14:textId="77777777" w:rsidR="00823D10" w:rsidRPr="00823D10" w:rsidRDefault="00823D10" w:rsidP="00823D10">
      <w:pPr>
        <w:spacing w:line="360" w:lineRule="exact"/>
        <w:rPr>
          <w:rFonts w:ascii="ＭＳ 明朝" w:eastAsia="ＭＳ 明朝" w:hAnsi="ＭＳ 明朝" w:cs="小塚ゴシック Pro M" w:hint="eastAsia"/>
          <w:color w:val="000000"/>
          <w:kern w:val="0"/>
          <w:szCs w:val="21"/>
          <w:lang w:val="ja-JP"/>
        </w:rPr>
      </w:pPr>
    </w:p>
    <w:p w14:paraId="05775CB7" w14:textId="28CB7B5E"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823D10">
        <w:rPr>
          <w:rFonts w:ascii="ＭＳ 明朝" w:eastAsia="ＭＳ 明朝" w:hAnsi="ＭＳ 明朝" w:cs="小塚ゴシック Pro M" w:hint="eastAsia"/>
          <w:color w:val="000000"/>
          <w:kern w:val="0"/>
          <w:szCs w:val="21"/>
          <w:lang w:val="ja-JP"/>
        </w:rPr>
        <w:t xml:space="preserve">　高齢者用肺炎球菌ワクチンについて、</w:t>
      </w:r>
    </w:p>
    <w:p w14:paraId="4F2C958C"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①高齢者の入院や要介護化の抑制による中長期的な財政負担は。</w:t>
      </w:r>
    </w:p>
    <w:p w14:paraId="7C71F71E"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②避難所での感染拡大防止の観点から、予防接種の狭間となった年齢層への費用補助導入は。</w:t>
      </w:r>
    </w:p>
    <w:p w14:paraId="3B22433E" w14:textId="608F974D"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823D10">
        <w:rPr>
          <w:rFonts w:ascii="ＭＳ 明朝" w:eastAsia="ＭＳ 明朝" w:hAnsi="ＭＳ 明朝" w:cs="小塚ゴシック Pro M" w:hint="eastAsia"/>
          <w:color w:val="000000"/>
          <w:kern w:val="0"/>
          <w:szCs w:val="21"/>
          <w:lang w:val="ja-JP"/>
        </w:rPr>
        <w:t xml:space="preserve">　①高齢者に限らず重要であり、財政負担の軽減につながるものと考えています。</w:t>
      </w:r>
    </w:p>
    <w:p w14:paraId="2C7A796A"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②現時点では新たな費用補助制度の導入は考えていません。</w:t>
      </w:r>
    </w:p>
    <w:p w14:paraId="7190B3D1"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 xml:space="preserve">　自己負担費用が少ない65歳で接種されるよう、より一層周知に努めます。</w:t>
      </w:r>
    </w:p>
    <w:p w14:paraId="574F50BC"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p>
    <w:p w14:paraId="0772146E" w14:textId="1084C59F"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公明党</w:t>
      </w:r>
      <w:r>
        <w:rPr>
          <w:rFonts w:ascii="ＭＳ 明朝" w:eastAsia="ＭＳ 明朝" w:hAnsi="ＭＳ 明朝" w:cs="小塚ゴシック Pro M" w:hint="eastAsia"/>
          <w:color w:val="000000"/>
          <w:kern w:val="0"/>
          <w:szCs w:val="21"/>
          <w:lang w:val="ja-JP"/>
        </w:rPr>
        <w:t xml:space="preserve">　</w:t>
      </w:r>
      <w:r w:rsidRPr="00823D10">
        <w:rPr>
          <w:rFonts w:ascii="ＭＳ 明朝" w:eastAsia="ＭＳ 明朝" w:hAnsi="ＭＳ 明朝" w:cs="小塚ゴシック Pro M" w:hint="eastAsia"/>
          <w:color w:val="000000"/>
          <w:kern w:val="0"/>
          <w:szCs w:val="21"/>
          <w:lang w:val="ja-JP"/>
        </w:rPr>
        <w:t>吉坂　 豊</w:t>
      </w:r>
    </w:p>
    <w:p w14:paraId="3E867084"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高齢者から地域で輝く幸齢者へ</w:t>
      </w:r>
    </w:p>
    <w:p w14:paraId="46974667" w14:textId="1FDF76C5"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823D10">
        <w:rPr>
          <w:rFonts w:ascii="ＭＳ 明朝" w:eastAsia="ＭＳ 明朝" w:hAnsi="ＭＳ 明朝" w:cs="小塚ゴシック Pro M" w:hint="eastAsia"/>
          <w:color w:val="000000"/>
          <w:kern w:val="0"/>
          <w:szCs w:val="21"/>
          <w:lang w:val="ja-JP"/>
        </w:rPr>
        <w:t xml:space="preserve">　成年後見制度について、</w:t>
      </w:r>
    </w:p>
    <w:p w14:paraId="3474BE14"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①制度の目的は。</w:t>
      </w:r>
    </w:p>
    <w:p w14:paraId="7DACC4E0"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②申し込みの手順は。</w:t>
      </w:r>
    </w:p>
    <w:p w14:paraId="6809CDBE" w14:textId="3620929F"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823D10">
        <w:rPr>
          <w:rFonts w:ascii="ＭＳ 明朝" w:eastAsia="ＭＳ 明朝" w:hAnsi="ＭＳ 明朝" w:cs="小塚ゴシック Pro M" w:hint="eastAsia"/>
          <w:color w:val="000000"/>
          <w:kern w:val="0"/>
          <w:szCs w:val="21"/>
          <w:lang w:val="ja-JP"/>
        </w:rPr>
        <w:t xml:space="preserve">　①認知症、知的障がい、精神障がいなどにより判断能力が十分でない方を法律に基づき保護し、支えることを目的としています。</w:t>
      </w:r>
    </w:p>
    <w:p w14:paraId="5B26E257"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②制度を利用するためには、原則として、本人の住所地を管轄する家庭裁判所に申し立てます。</w:t>
      </w:r>
    </w:p>
    <w:p w14:paraId="7DC60828"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 xml:space="preserve">　申し立て後は裁判所による書類審査が行われ、裁判官が後見開始の必要性や後見人などの選任を判断し、審判が確定します。その後、法務局で登録がなされ、支援開始となります。</w:t>
      </w:r>
    </w:p>
    <w:p w14:paraId="3133DD98"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p>
    <w:p w14:paraId="2DC8DBD3" w14:textId="2EB486B1"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lastRenderedPageBreak/>
        <w:t>Ｑ</w:t>
      </w:r>
      <w:r w:rsidRPr="00823D10">
        <w:rPr>
          <w:rFonts w:ascii="ＭＳ 明朝" w:eastAsia="ＭＳ 明朝" w:hAnsi="ＭＳ 明朝" w:cs="小塚ゴシック Pro M" w:hint="eastAsia"/>
          <w:color w:val="000000"/>
          <w:kern w:val="0"/>
          <w:szCs w:val="21"/>
          <w:lang w:val="ja-JP"/>
        </w:rPr>
        <w:t xml:space="preserve">　単身高齢者の終活支援について、</w:t>
      </w:r>
    </w:p>
    <w:p w14:paraId="0DA5EBB2"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①市役所内に手続き専用相談窓口を設置する考えは。</w:t>
      </w:r>
    </w:p>
    <w:p w14:paraId="314FCE6D" w14:textId="77777777"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sidRPr="00823D10">
        <w:rPr>
          <w:rFonts w:ascii="ＭＳ 明朝" w:eastAsia="ＭＳ 明朝" w:hAnsi="ＭＳ 明朝" w:cs="小塚ゴシック Pro M" w:hint="eastAsia"/>
          <w:color w:val="000000"/>
          <w:kern w:val="0"/>
          <w:szCs w:val="21"/>
          <w:lang w:val="ja-JP"/>
        </w:rPr>
        <w:t>②エンディングノート「みらいノート」の活用は。</w:t>
      </w:r>
    </w:p>
    <w:p w14:paraId="5DAEFF5E" w14:textId="599430A6" w:rsidR="00823D10" w:rsidRPr="00823D10" w:rsidRDefault="00823D10" w:rsidP="00823D10">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823D10">
        <w:rPr>
          <w:rFonts w:ascii="ＭＳ 明朝" w:eastAsia="ＭＳ 明朝" w:hAnsi="ＭＳ 明朝" w:cs="小塚ゴシック Pro M" w:hint="eastAsia"/>
          <w:color w:val="000000"/>
          <w:kern w:val="0"/>
          <w:szCs w:val="21"/>
          <w:lang w:val="ja-JP"/>
        </w:rPr>
        <w:t xml:space="preserve">　①専用窓口の設置予定はありませんが、地域包括支援センターを相談窓口として、引き続き終活に関しても丁寧に対応します。</w:t>
      </w:r>
    </w:p>
    <w:p w14:paraId="4D5CDAFC" w14:textId="251B2C8B" w:rsidR="006F46E3" w:rsidRPr="00823D10" w:rsidRDefault="00823D10" w:rsidP="00823D10">
      <w:pPr>
        <w:spacing w:line="360" w:lineRule="exact"/>
        <w:rPr>
          <w:rFonts w:ascii="ＭＳ 明朝" w:eastAsia="ＭＳ 明朝" w:hAnsi="ＭＳ 明朝" w:cs="小塚ゴシック Pro M" w:hint="eastAsia"/>
          <w:color w:val="000000"/>
          <w:kern w:val="0"/>
          <w:szCs w:val="21"/>
          <w:lang w:val="ja-JP"/>
        </w:rPr>
      </w:pPr>
      <w:r w:rsidRPr="00823D10">
        <w:rPr>
          <w:rFonts w:ascii="ＭＳ 明朝" w:eastAsia="ＭＳ 明朝" w:hAnsi="ＭＳ 明朝" w:cs="小塚ゴシック Pro M" w:hint="eastAsia"/>
          <w:color w:val="000000"/>
          <w:kern w:val="0"/>
          <w:szCs w:val="21"/>
          <w:lang w:val="ja-JP"/>
        </w:rPr>
        <w:t>②地域包括支援センターや医療機関への配置を進めるとともに、出前講座を通じて書き方のポイントを学ぶ機会を設け、周知を図っています。自身の希望を整理するツールとして活用が進みつつありますが、今後も多くの方が「みらいノート」を手に、自身の人生を考えるきっかけとなるように、啓発活動や活用促進に取り組みます。</w:t>
      </w:r>
    </w:p>
    <w:sectPr w:rsidR="006F46E3" w:rsidRPr="00823D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C4F26" w14:textId="77777777" w:rsidR="001D0DFD" w:rsidRDefault="001D0DFD" w:rsidP="001D0DFD">
      <w:r>
        <w:separator/>
      </w:r>
    </w:p>
  </w:endnote>
  <w:endnote w:type="continuationSeparator" w:id="0">
    <w:p w14:paraId="304D96ED" w14:textId="77777777" w:rsidR="001D0DFD" w:rsidRDefault="001D0DFD" w:rsidP="001D0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小塚ゴシック Pro M">
    <w:panose1 w:val="00000000000000000000"/>
    <w:charset w:val="80"/>
    <w:family w:val="swiss"/>
    <w:notTrueType/>
    <w:pitch w:val="variable"/>
    <w:sig w:usb0="00000283" w:usb1="2AC71C11" w:usb2="00000012"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DE0A7" w14:textId="77777777" w:rsidR="001D0DFD" w:rsidRDefault="001D0DFD" w:rsidP="001D0DFD">
      <w:r>
        <w:separator/>
      </w:r>
    </w:p>
  </w:footnote>
  <w:footnote w:type="continuationSeparator" w:id="0">
    <w:p w14:paraId="00B718B5" w14:textId="77777777" w:rsidR="001D0DFD" w:rsidRDefault="001D0DFD" w:rsidP="001D0D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345"/>
    <w:rsid w:val="00164D93"/>
    <w:rsid w:val="001D0DFD"/>
    <w:rsid w:val="002A7C1D"/>
    <w:rsid w:val="00346AA1"/>
    <w:rsid w:val="00440C3E"/>
    <w:rsid w:val="00453DE6"/>
    <w:rsid w:val="00487345"/>
    <w:rsid w:val="005F6051"/>
    <w:rsid w:val="006F46E3"/>
    <w:rsid w:val="00823D10"/>
    <w:rsid w:val="00D80F96"/>
    <w:rsid w:val="00ED2400"/>
    <w:rsid w:val="00F11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D6B973"/>
  <w15:chartTrackingRefBased/>
  <w15:docId w15:val="{F0DDF115-B045-4BF7-87FE-3299DF931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0DFD"/>
    <w:pPr>
      <w:spacing w:after="0" w:line="240" w:lineRule="auto"/>
      <w:jc w:val="both"/>
    </w:pPr>
    <w:rPr>
      <w:sz w:val="21"/>
      <w:szCs w:val="22"/>
      <w14:ligatures w14:val="none"/>
    </w:rPr>
  </w:style>
  <w:style w:type="paragraph" w:styleId="1">
    <w:name w:val="heading 1"/>
    <w:basedOn w:val="a"/>
    <w:next w:val="a"/>
    <w:link w:val="10"/>
    <w:uiPriority w:val="9"/>
    <w:qFormat/>
    <w:rsid w:val="00487345"/>
    <w:pPr>
      <w:keepNext/>
      <w:keepLines/>
      <w:widowControl w:val="0"/>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487345"/>
    <w:pPr>
      <w:keepNext/>
      <w:keepLines/>
      <w:widowControl w:val="0"/>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487345"/>
    <w:pPr>
      <w:keepNext/>
      <w:keepLines/>
      <w:widowControl w:val="0"/>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487345"/>
    <w:pPr>
      <w:keepNext/>
      <w:keepLines/>
      <w:widowControl w:val="0"/>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487345"/>
    <w:pPr>
      <w:keepNext/>
      <w:keepLines/>
      <w:widowControl w:val="0"/>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487345"/>
    <w:pPr>
      <w:keepNext/>
      <w:keepLines/>
      <w:widowControl w:val="0"/>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487345"/>
    <w:pPr>
      <w:keepNext/>
      <w:keepLines/>
      <w:widowControl w:val="0"/>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487345"/>
    <w:pPr>
      <w:keepNext/>
      <w:keepLines/>
      <w:widowControl w:val="0"/>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487345"/>
    <w:pPr>
      <w:keepNext/>
      <w:keepLines/>
      <w:widowControl w:val="0"/>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734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8734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8734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8734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8734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8734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8734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8734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8734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87345"/>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4873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7345"/>
    <w:pPr>
      <w:widowControl w:val="0"/>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48734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87345"/>
    <w:pPr>
      <w:widowControl w:val="0"/>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487345"/>
    <w:rPr>
      <w:i/>
      <w:iCs/>
      <w:color w:val="404040" w:themeColor="text1" w:themeTint="BF"/>
    </w:rPr>
  </w:style>
  <w:style w:type="paragraph" w:styleId="a9">
    <w:name w:val="List Paragraph"/>
    <w:basedOn w:val="a"/>
    <w:uiPriority w:val="34"/>
    <w:qFormat/>
    <w:rsid w:val="00487345"/>
    <w:pPr>
      <w:widowControl w:val="0"/>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487345"/>
    <w:rPr>
      <w:i/>
      <w:iCs/>
      <w:color w:val="0F4761" w:themeColor="accent1" w:themeShade="BF"/>
    </w:rPr>
  </w:style>
  <w:style w:type="paragraph" w:styleId="22">
    <w:name w:val="Intense Quote"/>
    <w:basedOn w:val="a"/>
    <w:next w:val="a"/>
    <w:link w:val="23"/>
    <w:uiPriority w:val="30"/>
    <w:qFormat/>
    <w:rsid w:val="00487345"/>
    <w:pPr>
      <w:widowControl w:val="0"/>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487345"/>
    <w:rPr>
      <w:i/>
      <w:iCs/>
      <w:color w:val="0F4761" w:themeColor="accent1" w:themeShade="BF"/>
    </w:rPr>
  </w:style>
  <w:style w:type="character" w:styleId="24">
    <w:name w:val="Intense Reference"/>
    <w:basedOn w:val="a0"/>
    <w:uiPriority w:val="32"/>
    <w:qFormat/>
    <w:rsid w:val="00487345"/>
    <w:rPr>
      <w:b/>
      <w:bCs/>
      <w:smallCaps/>
      <w:color w:val="0F4761" w:themeColor="accent1" w:themeShade="BF"/>
      <w:spacing w:val="5"/>
    </w:rPr>
  </w:style>
  <w:style w:type="paragraph" w:styleId="aa">
    <w:name w:val="header"/>
    <w:basedOn w:val="a"/>
    <w:link w:val="ab"/>
    <w:uiPriority w:val="99"/>
    <w:unhideWhenUsed/>
    <w:rsid w:val="001D0DFD"/>
    <w:pPr>
      <w:widowControl w:val="0"/>
      <w:tabs>
        <w:tab w:val="center" w:pos="4252"/>
        <w:tab w:val="right" w:pos="8504"/>
      </w:tabs>
      <w:snapToGrid w:val="0"/>
      <w:spacing w:after="160" w:line="259" w:lineRule="auto"/>
      <w:jc w:val="left"/>
    </w:pPr>
    <w:rPr>
      <w:sz w:val="22"/>
      <w:szCs w:val="24"/>
      <w14:ligatures w14:val="standardContextual"/>
    </w:rPr>
  </w:style>
  <w:style w:type="character" w:customStyle="1" w:styleId="ab">
    <w:name w:val="ヘッダー (文字)"/>
    <w:basedOn w:val="a0"/>
    <w:link w:val="aa"/>
    <w:uiPriority w:val="99"/>
    <w:rsid w:val="001D0DFD"/>
  </w:style>
  <w:style w:type="paragraph" w:styleId="ac">
    <w:name w:val="footer"/>
    <w:basedOn w:val="a"/>
    <w:link w:val="ad"/>
    <w:uiPriority w:val="99"/>
    <w:unhideWhenUsed/>
    <w:rsid w:val="001D0DFD"/>
    <w:pPr>
      <w:widowControl w:val="0"/>
      <w:tabs>
        <w:tab w:val="center" w:pos="4252"/>
        <w:tab w:val="right" w:pos="8504"/>
      </w:tabs>
      <w:snapToGrid w:val="0"/>
      <w:spacing w:after="160" w:line="259" w:lineRule="auto"/>
      <w:jc w:val="left"/>
    </w:pPr>
    <w:rPr>
      <w:sz w:val="22"/>
      <w:szCs w:val="24"/>
      <w14:ligatures w14:val="standardContextual"/>
    </w:rPr>
  </w:style>
  <w:style w:type="character" w:customStyle="1" w:styleId="ad">
    <w:name w:val="フッター (文字)"/>
    <w:basedOn w:val="a0"/>
    <w:link w:val="ac"/>
    <w:uiPriority w:val="99"/>
    <w:rsid w:val="001D0D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1795</Characters>
  <Application>Microsoft Office Word</Application>
  <DocSecurity>0</DocSecurity>
  <Lines>14</Lines>
  <Paragraphs>4</Paragraphs>
  <ScaleCrop>false</ScaleCrop>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ﾅｶｶﾞﾜ ﾚｲｶ</dc:creator>
  <cp:keywords/>
  <dc:description/>
  <cp:lastModifiedBy>ﾅｶｶﾞﾜ ﾚｲｶ</cp:lastModifiedBy>
  <cp:revision>5</cp:revision>
  <dcterms:created xsi:type="dcterms:W3CDTF">2026-02-03T01:51:00Z</dcterms:created>
  <dcterms:modified xsi:type="dcterms:W3CDTF">2026-08-03T05:42:00Z</dcterms:modified>
</cp:coreProperties>
</file>